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9" w:rsidRPr="00AD43F5" w:rsidRDefault="00526F19" w:rsidP="00526F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C00000"/>
          <w:kern w:val="36"/>
          <w:sz w:val="48"/>
          <w:szCs w:val="48"/>
        </w:rPr>
      </w:pPr>
      <w:r w:rsidRPr="00AD43F5">
        <w:rPr>
          <w:rFonts w:ascii="Times New Roman" w:hAnsi="Times New Roman" w:cs="Times New Roman"/>
          <w:color w:val="C00000"/>
          <w:kern w:val="36"/>
          <w:sz w:val="48"/>
          <w:szCs w:val="48"/>
        </w:rPr>
        <w:t>Практические рекомендации</w:t>
      </w:r>
    </w:p>
    <w:p w:rsidR="00526F19" w:rsidRDefault="00526F19" w:rsidP="00526F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C00000"/>
          <w:kern w:val="36"/>
          <w:sz w:val="48"/>
          <w:szCs w:val="48"/>
        </w:rPr>
      </w:pPr>
      <w:r w:rsidRPr="00AD43F5">
        <w:rPr>
          <w:rFonts w:ascii="Times New Roman" w:hAnsi="Times New Roman" w:cs="Times New Roman"/>
          <w:color w:val="C00000"/>
          <w:kern w:val="36"/>
          <w:sz w:val="48"/>
          <w:szCs w:val="48"/>
        </w:rPr>
        <w:t>для педагогов и родителей</w:t>
      </w:r>
    </w:p>
    <w:p w:rsidR="00526F19" w:rsidRPr="00137471" w:rsidRDefault="00526F19" w:rsidP="00526F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7474F"/>
          <w:kern w:val="36"/>
          <w:sz w:val="48"/>
          <w:szCs w:val="4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236220</wp:posOffset>
            </wp:positionV>
            <wp:extent cx="2562225" cy="1552575"/>
            <wp:effectExtent l="19050" t="0" r="9525" b="0"/>
            <wp:wrapTight wrapText="bothSides">
              <wp:wrapPolygon edited="0">
                <wp:start x="-161" y="0"/>
                <wp:lineTo x="-161" y="21467"/>
                <wp:lineTo x="21680" y="21467"/>
                <wp:lineTo x="21680" y="0"/>
                <wp:lineTo x="-161" y="0"/>
              </wp:wrapPolygon>
            </wp:wrapTight>
            <wp:docPr id="1" name="Рисунок 1" descr="mother-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-ch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Воспитывая,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Никогда не сравнивайте между собой детей, хвалите их за успехи и достижения.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Обучая мальчиков, опирайтесь на их высокую поисковую активность, сообразительность.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526F19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Вы должны не столько научить ребенка, сколько развить у него желание учиться.</w:t>
      </w:r>
    </w:p>
    <w:p w:rsidR="00526F19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Помните: нормой для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является — не знать что-либо,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уметь,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ошибаться.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>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526F19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43F5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обучения мы должны свои требования превратить </w:t>
      </w:r>
    </w:p>
    <w:p w:rsidR="00526F19" w:rsidRPr="00AD43F5" w:rsidRDefault="00526F19" w:rsidP="00526F1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F5">
        <w:rPr>
          <w:rFonts w:ascii="Times New Roman" w:hAnsi="Times New Roman" w:cs="Times New Roman"/>
          <w:color w:val="000000"/>
          <w:sz w:val="28"/>
          <w:szCs w:val="28"/>
        </w:rPr>
        <w:t>в желания ребенка.</w:t>
      </w:r>
    </w:p>
    <w:p w:rsidR="00735785" w:rsidRDefault="00735785"/>
    <w:sectPr w:rsidR="00735785" w:rsidSect="0071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85"/>
    <w:rsid w:val="00526F19"/>
    <w:rsid w:val="00716DDF"/>
    <w:rsid w:val="00735785"/>
    <w:rsid w:val="00A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4</cp:revision>
  <dcterms:created xsi:type="dcterms:W3CDTF">2021-05-23T16:10:00Z</dcterms:created>
  <dcterms:modified xsi:type="dcterms:W3CDTF">2021-05-25T08:29:00Z</dcterms:modified>
</cp:coreProperties>
</file>